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3"/>
        <w:gridCol w:w="1417"/>
        <w:gridCol w:w="5245"/>
        <w:gridCol w:w="3402"/>
        <w:gridCol w:w="3769"/>
      </w:tblGrid>
      <w:tr w:rsidR="00A06425" w:rsidRPr="00A06425" w14:paraId="2C467464" w14:textId="77777777" w:rsidTr="00A06425">
        <w:tc>
          <w:tcPr>
            <w:tcW w:w="15388" w:type="dxa"/>
            <w:gridSpan w:val="6"/>
            <w:vAlign w:val="center"/>
          </w:tcPr>
          <w:p w14:paraId="335243C2" w14:textId="77777777" w:rsidR="00AC2B1D" w:rsidRPr="00AC2B1D" w:rsidRDefault="00A06425" w:rsidP="00AC2B1D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C2B1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C2B1D" w:rsidRPr="00AC2B1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projekt rozporządzenia Ministra Sprawiedliwości zmieniającego rozporządzenie w sprawie nieodpłatnej pomocy prawnej oraz nieodpłatnego</w:t>
            </w:r>
          </w:p>
          <w:p w14:paraId="3576DE99" w14:textId="2366EA68" w:rsidR="00A06425" w:rsidRPr="00A06425" w:rsidRDefault="00AC2B1D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C2B1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poradnictwa obywatelskiego (B890)</w:t>
            </w:r>
          </w:p>
        </w:tc>
      </w:tr>
      <w:tr w:rsidR="00A06425" w:rsidRPr="00A06425" w14:paraId="7E2D4D1C" w14:textId="77777777" w:rsidTr="00656B23">
        <w:tc>
          <w:tcPr>
            <w:tcW w:w="562" w:type="dxa"/>
            <w:vAlign w:val="center"/>
          </w:tcPr>
          <w:p w14:paraId="25EBED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3" w:type="dxa"/>
            <w:vAlign w:val="center"/>
          </w:tcPr>
          <w:p w14:paraId="6711AA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vAlign w:val="center"/>
          </w:tcPr>
          <w:p w14:paraId="2BC6E1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vAlign w:val="center"/>
          </w:tcPr>
          <w:p w14:paraId="07C855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vAlign w:val="center"/>
          </w:tcPr>
          <w:p w14:paraId="2B78E04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5741462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CF9AFAE" w14:textId="77777777" w:rsidTr="00656B23">
        <w:tc>
          <w:tcPr>
            <w:tcW w:w="562" w:type="dxa"/>
          </w:tcPr>
          <w:p w14:paraId="2AF4308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74F72A9F" w14:textId="0CBEE98F" w:rsidR="00A06425" w:rsidRPr="00A06425" w:rsidRDefault="00B46B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417" w:type="dxa"/>
          </w:tcPr>
          <w:p w14:paraId="492B05B4" w14:textId="679DB49E" w:rsidR="00A06425" w:rsidRPr="00A06425" w:rsidRDefault="00B46BDC" w:rsidP="00B46B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prawna</w:t>
            </w:r>
          </w:p>
        </w:tc>
        <w:tc>
          <w:tcPr>
            <w:tcW w:w="5245" w:type="dxa"/>
          </w:tcPr>
          <w:p w14:paraId="1286B29E" w14:textId="65117127" w:rsidR="00A06425" w:rsidRP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podstawie prawnej projektowanego rozporządzenia należy podać pełny tytuł ustawy</w:t>
            </w:r>
            <w:r w:rsidR="002C34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upoważniającej (a nie, jak obecnie, jedynie jej datę)</w:t>
            </w:r>
            <w:r w:rsidR="00AE35A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547F244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2C9F7935" w14:textId="40F7C263" w:rsidR="00A06425" w:rsidRPr="00E249F5" w:rsidRDefault="0017544A" w:rsidP="00E249F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E249F5" w:rsidRPr="00E2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uwzględniona.</w:t>
            </w:r>
            <w:r w:rsidR="000123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6425" w:rsidRPr="00A06425" w14:paraId="22B1AC20" w14:textId="77777777" w:rsidTr="00656B23">
        <w:tc>
          <w:tcPr>
            <w:tcW w:w="562" w:type="dxa"/>
          </w:tcPr>
          <w:p w14:paraId="11D5A6B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14:paraId="4C6981BD" w14:textId="7302B1C2" w:rsidR="00A06425" w:rsidRPr="00A06425" w:rsidRDefault="00B46B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417" w:type="dxa"/>
          </w:tcPr>
          <w:p w14:paraId="145CCF58" w14:textId="77777777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§ 3 ust. 3a</w:t>
            </w:r>
          </w:p>
          <w:p w14:paraId="478B22CF" w14:textId="77777777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zmienianego</w:t>
            </w:r>
          </w:p>
          <w:p w14:paraId="3FC32FBF" w14:textId="77777777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rozporządzenia</w:t>
            </w:r>
          </w:p>
          <w:p w14:paraId="3E0B9657" w14:textId="77777777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(§ 1 pkt 1 lit. b</w:t>
            </w:r>
          </w:p>
          <w:p w14:paraId="06A2FF8A" w14:textId="5D936D48" w:rsidR="00A06425" w:rsidRPr="00A06425" w:rsidRDefault="00B46BDC" w:rsidP="00B46B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projektu)</w:t>
            </w:r>
          </w:p>
        </w:tc>
        <w:tc>
          <w:tcPr>
            <w:tcW w:w="5245" w:type="dxa"/>
          </w:tcPr>
          <w:p w14:paraId="0241A726" w14:textId="018E8D7E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tle regulacji § 3 ust. 3a zmienianego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rozporządzenia, przewidującej, że osoba, o której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mowa w art. 8 ust. 8 ustawy upoważniającej,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wybierając środki porozumiewania się na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odległość jako formę udzielenia nieopłatnej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pomocy prawnej albo świadczenia nieodpłatnego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poradnictwa obywatelskiego, informuje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jednocześnie o dostępnych tej osobie środkach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porozumiewania się na odległość – wyjaśnienia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wymaga dlaczego powyższa regulacja nie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obejmuje również innych osób uprawnionych do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nieodpłatnej pomocy prawnej i nieodpłatnego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poradnictwa obywatelskiego, korzystających z</w:t>
            </w:r>
            <w:r w:rsidR="00637C23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udzielenia pomocy lub poradnictwa w</w:t>
            </w:r>
            <w:r w:rsidR="002C34AE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tej formie.</w:t>
            </w:r>
          </w:p>
          <w:p w14:paraId="3631F660" w14:textId="4F6B6228" w:rsidR="00A06425" w:rsidRPr="002C34AE" w:rsidRDefault="00B46BDC" w:rsidP="002C34A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Osoby inne niż wymienione w art. 8 ust. 8 ustawy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 będą bowiem informować o dostępnych im</w:t>
            </w:r>
            <w:r w:rsidR="00637C2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środkach porozumiewania się na odległość – ratio</w:t>
            </w:r>
            <w:r w:rsidR="002C34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legis takiego rozwiązania wymaga wyjaśnienia</w:t>
            </w:r>
            <w:r w:rsidR="00202F7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35C57E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39A1CA9C" w14:textId="039C9DA5" w:rsidR="00E249F5" w:rsidRPr="00E249F5" w:rsidRDefault="00E249F5" w:rsidP="00637C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7CF5D580" w14:textId="303B22F2" w:rsidR="00E249F5" w:rsidRDefault="00E249F5" w:rsidP="00637C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Uzasadnienie do projektu rozporządzenia zostało uzupełnione </w:t>
            </w:r>
            <w:r w:rsidR="002C34AE">
              <w:rPr>
                <w:rFonts w:asciiTheme="minorHAnsi" w:hAnsiTheme="minorHAnsi" w:cstheme="minorHAnsi"/>
                <w:sz w:val="22"/>
                <w:szCs w:val="22"/>
              </w:rPr>
              <w:t xml:space="preserve">i przeredagowane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tym zakresie. </w:t>
            </w:r>
          </w:p>
          <w:p w14:paraId="2290573B" w14:textId="1F190C43" w:rsidR="00FB234C" w:rsidRDefault="00CF552A" w:rsidP="00637C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Projektowana r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 xml:space="preserve">egulacja § 3 ust. 3a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zmienianego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rozporządzenia nie obejmuje innych osób uprawnionych do nieodpłatnej pomocy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prawnej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nieodpłatnego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poradnictwa obywatelskiego,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korzystających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udzielenia tej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pomocy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lub poradnictwa za pośrednictwem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środków porozumiewania się na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odległość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rzepis ten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bowiem skierowany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 xml:space="preserve"> wyłącznie do osób,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których mowa w art. 8 ust. 8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551C3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dnia 5 sierpnia </w:t>
            </w:r>
            <w:r w:rsidR="00551C34">
              <w:rPr>
                <w:rFonts w:asciiTheme="minorHAnsi" w:hAnsiTheme="minorHAnsi" w:cstheme="minorHAnsi"/>
                <w:sz w:val="22"/>
                <w:szCs w:val="22"/>
              </w:rPr>
              <w:t xml:space="preserve">2015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nieodpłatnej pomocy prawnej, nieodpłatnym poradnictwie obywatelskim oraz edukacji prawnej, zwanej dalej „ustawą”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tj. osób ze znaczną niepełnosprawnością ruchową, które nie mogą stawić się w punkcie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osobiście oraz osób doświadczających trudności w komunikowaniu się, o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których mowa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w ustawie z dnia 19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sierpnia 2011 r.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języku migowym i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 xml:space="preserve">innych środkach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komunikowania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 xml:space="preserve">się i ma na celu zapewnienie ww. </w:t>
            </w:r>
            <w:r w:rsidR="002C34AE">
              <w:rPr>
                <w:rFonts w:asciiTheme="minorHAnsi" w:hAnsiTheme="minorHAnsi" w:cstheme="minorHAnsi"/>
                <w:sz w:val="22"/>
                <w:szCs w:val="22"/>
              </w:rPr>
              <w:t xml:space="preserve">osobom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dostępnych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środków komunikowania,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1F33E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ustawą z</w:t>
            </w:r>
            <w:r w:rsidR="00551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dnia 19 lipca 2019 r.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2C34A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zapewnianiu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dostępności osobom ze szczególnymi potrzebami.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4A2C021" w14:textId="2D36E489" w:rsidR="00A06425" w:rsidRPr="00A06425" w:rsidRDefault="007D1091" w:rsidP="00637C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 wskazano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uzasadnieniu do projektu rozporządzenia c</w:t>
            </w:r>
            <w:r w:rsidRPr="007D1091">
              <w:rPr>
                <w:rFonts w:asciiTheme="minorHAnsi" w:hAnsiTheme="minorHAnsi" w:cstheme="minorHAnsi"/>
                <w:sz w:val="22"/>
                <w:szCs w:val="22"/>
              </w:rPr>
              <w:t>elem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zaproponowanych rozwiązań </w:t>
            </w:r>
            <w:r w:rsidRPr="007D1091">
              <w:rPr>
                <w:rFonts w:asciiTheme="minorHAnsi" w:hAnsiTheme="minorHAnsi" w:cstheme="minorHAnsi"/>
                <w:sz w:val="22"/>
                <w:szCs w:val="22"/>
              </w:rPr>
              <w:t>jest zapewnienie, że już w momencie zapisu, starosta będzie otrzymywał informację o potrzebie zapewnienia dostępności pomocy i formie zapewnienia tej dostępności. Dzięki temu będzie możliwe dostosowanie formy wizyty i środków porozumiewania się z osobą potrzebującą,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 o której mowa w art. 8 ust. 8 ustawy,</w:t>
            </w:r>
            <w:r w:rsidRPr="007D1091">
              <w:rPr>
                <w:rFonts w:asciiTheme="minorHAnsi" w:hAnsiTheme="minorHAnsi" w:cstheme="minorHAnsi"/>
                <w:sz w:val="22"/>
                <w:szCs w:val="22"/>
              </w:rPr>
              <w:t xml:space="preserve"> do możliwości wynikających z</w:t>
            </w:r>
            <w:r w:rsidR="00CF55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D1091">
              <w:rPr>
                <w:rFonts w:asciiTheme="minorHAnsi" w:hAnsiTheme="minorHAnsi" w:cstheme="minorHAnsi"/>
                <w:sz w:val="22"/>
                <w:szCs w:val="22"/>
              </w:rPr>
              <w:t>indywidualnej sytuacji tej osoby.</w:t>
            </w:r>
            <w:r w:rsidR="002C34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7D1091">
              <w:rPr>
                <w:rFonts w:asciiTheme="minorHAnsi" w:hAnsiTheme="minorHAnsi" w:cstheme="minorHAnsi"/>
                <w:sz w:val="22"/>
                <w:szCs w:val="22"/>
              </w:rPr>
              <w:t>Reasumują</w:t>
            </w:r>
            <w:r w:rsidR="00CF552A">
              <w:rPr>
                <w:rFonts w:asciiTheme="minorHAnsi" w:hAnsiTheme="minorHAnsi" w:cstheme="minorHAnsi"/>
                <w:sz w:val="22"/>
                <w:szCs w:val="22"/>
              </w:rPr>
              <w:t xml:space="preserve">c, zaproponowany </w:t>
            </w:r>
            <w:r w:rsidR="00637C23" w:rsidRPr="007D1091">
              <w:rPr>
                <w:rFonts w:asciiTheme="minorHAnsi" w:hAnsiTheme="minorHAnsi" w:cstheme="minorHAnsi"/>
                <w:sz w:val="22"/>
                <w:szCs w:val="22"/>
              </w:rPr>
              <w:t xml:space="preserve">przepis </w:t>
            </w:r>
            <w:r w:rsidR="00CF552A" w:rsidRPr="00CF552A">
              <w:rPr>
                <w:rFonts w:asciiTheme="minorHAnsi" w:hAnsiTheme="minorHAnsi" w:cstheme="minorHAnsi"/>
                <w:sz w:val="22"/>
                <w:szCs w:val="22"/>
              </w:rPr>
              <w:t>§ 3 ust. 3a</w:t>
            </w:r>
            <w:r w:rsidR="00CF552A">
              <w:rPr>
                <w:rFonts w:asciiTheme="minorHAnsi" w:hAnsiTheme="minorHAnsi" w:cstheme="minorHAnsi"/>
                <w:sz w:val="22"/>
                <w:szCs w:val="22"/>
              </w:rPr>
              <w:t xml:space="preserve"> nowelizowanego rozporządzenia, realizując wymogi określone w ustawie </w:t>
            </w:r>
            <w:r w:rsidR="004B201B" w:rsidRPr="004B201B">
              <w:rPr>
                <w:rFonts w:asciiTheme="minorHAnsi" w:hAnsiTheme="minorHAnsi" w:cstheme="minorHAnsi"/>
                <w:sz w:val="22"/>
                <w:szCs w:val="22"/>
              </w:rPr>
              <w:t xml:space="preserve">z dnia 19 lipca 2019 r. </w:t>
            </w:r>
            <w:r w:rsidR="00CF552A" w:rsidRPr="00CF552A">
              <w:rPr>
                <w:rFonts w:asciiTheme="minorHAnsi" w:hAnsiTheme="minorHAnsi" w:cstheme="minorHAnsi"/>
                <w:sz w:val="22"/>
                <w:szCs w:val="22"/>
              </w:rPr>
              <w:t>o zapewnianiu dostępności</w:t>
            </w:r>
            <w:r w:rsidR="004B201B" w:rsidRPr="004B201B">
              <w:rPr>
                <w:rFonts w:asciiTheme="minorHAnsi" w:hAnsiTheme="minorHAnsi" w:cstheme="minorHAnsi"/>
                <w:sz w:val="22"/>
                <w:szCs w:val="22"/>
              </w:rPr>
              <w:t xml:space="preserve"> osobom ze szczególnymi potrzebami</w:t>
            </w:r>
            <w:r w:rsidR="00CF552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37C23" w:rsidRPr="007D1091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7C23" w:rsidRPr="007D1091">
              <w:rPr>
                <w:rFonts w:asciiTheme="minorHAnsi" w:hAnsiTheme="minorHAnsi" w:cstheme="minorHAnsi"/>
                <w:sz w:val="22"/>
                <w:szCs w:val="22"/>
              </w:rPr>
              <w:t>zamyśle projektodawcy miał dotyczyć zawężonego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 xml:space="preserve"> kręgu osób uprawnionych. Wybór środków komunikacji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 xml:space="preserve">elektronicznej, z których będą mogły skorzystać 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pozostałe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osoby uprawnione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uzależniony będzie od tego jaki rodzaj środków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porozumiewania się na odległość będzie dostępny w danym punkcie pomocy, o</w:t>
            </w:r>
            <w:r w:rsidR="00FB2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czym</w:t>
            </w:r>
            <w:r w:rsidR="00637C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C23" w:rsidRPr="00637C23">
              <w:rPr>
                <w:rFonts w:asciiTheme="minorHAnsi" w:hAnsiTheme="minorHAnsi" w:cstheme="minorHAnsi"/>
                <w:sz w:val="22"/>
                <w:szCs w:val="22"/>
              </w:rPr>
              <w:t>decyduje właściwy starosta.</w:t>
            </w:r>
          </w:p>
        </w:tc>
      </w:tr>
      <w:tr w:rsidR="00A06425" w:rsidRPr="00A06425" w14:paraId="3034B3F7" w14:textId="77777777" w:rsidTr="00656B23">
        <w:tc>
          <w:tcPr>
            <w:tcW w:w="562" w:type="dxa"/>
          </w:tcPr>
          <w:p w14:paraId="1524FE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993" w:type="dxa"/>
          </w:tcPr>
          <w:p w14:paraId="4734E0F2" w14:textId="2E2FBF93" w:rsidR="00A06425" w:rsidRPr="00A06425" w:rsidRDefault="00B46B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417" w:type="dxa"/>
          </w:tcPr>
          <w:p w14:paraId="22CADAD9" w14:textId="77777777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§ 1 pkt 6 i 7</w:t>
            </w:r>
          </w:p>
          <w:p w14:paraId="52A671EA" w14:textId="5B3A80B6" w:rsidR="00A06425" w:rsidRPr="00A06425" w:rsidRDefault="00B46BDC" w:rsidP="00B46B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projektu</w:t>
            </w:r>
          </w:p>
        </w:tc>
        <w:tc>
          <w:tcPr>
            <w:tcW w:w="5245" w:type="dxa"/>
          </w:tcPr>
          <w:p w14:paraId="566CFB38" w14:textId="381E936F" w:rsidR="00A06425" w:rsidRPr="00D344D6" w:rsidRDefault="00B46BDC" w:rsidP="00D344D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 względu na treść zmienianego załącznika nr 2,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który stanowi wzór dokumentu, wprowadzenie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proponowanych zmian powinno nastąpić przez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określenie nowego wzoru tego dokumentu (tak jak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przyjęto w poprzedniej wersji projektowanego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rozporządzenia), a nie przez nowelizację wzoru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obecnego. Analogiczna uwaga dotyczy również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zmian w</w:t>
            </w:r>
            <w:r w:rsidR="00A8309C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zakresie załącznika nr 4 do zmienianego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rozporządzenia (któremu także należałoby w</w:t>
            </w:r>
            <w:r w:rsidR="00D344D6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całości nadać nowe brzmienie).</w:t>
            </w:r>
          </w:p>
        </w:tc>
        <w:tc>
          <w:tcPr>
            <w:tcW w:w="3402" w:type="dxa"/>
          </w:tcPr>
          <w:p w14:paraId="2DEE6B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59786B1E" w14:textId="49BB94EC" w:rsidR="00E249F5" w:rsidRPr="002B0F32" w:rsidRDefault="002B0F32" w:rsidP="00601FB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0F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  <w:r w:rsidR="00E2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2133C94D" w14:textId="50048FDF" w:rsidR="0095015F" w:rsidRDefault="002D1E6D" w:rsidP="009501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projekcie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 xml:space="preserve">rozporządzenia zaproponowano punktowe zmiany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określonych elementów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załączników nr</w:t>
            </w:r>
            <w:r w:rsidR="00A8309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i nr 4 do nowelizowanego rozporządzenia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 xml:space="preserve">karty pomocy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 zbiorczej informacji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o wykonaniu zadania polegającego na udzielaniu nieodpłatnej pomocy prawnej lub nieodpłatnego poradnictwa obywatelskiego oraz edukacji prawnej – w zakresie możliwym do zrealizowania przy występujących trudnościach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charakterze technicznym</w:t>
            </w:r>
            <w:r w:rsidR="00DF0D85">
              <w:rPr>
                <w:rFonts w:asciiTheme="minorHAnsi" w:hAnsiTheme="minorHAnsi" w:cstheme="minorHAnsi"/>
                <w:sz w:val="22"/>
                <w:szCs w:val="22"/>
              </w:rPr>
              <w:t xml:space="preserve">. Powyższe uzasadnia </w:t>
            </w:r>
            <w:r w:rsidR="0095015F"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="00DF0D85">
              <w:rPr>
                <w:rFonts w:asciiTheme="minorHAnsi" w:hAnsiTheme="minorHAnsi" w:cstheme="minorHAnsi"/>
                <w:sz w:val="22"/>
                <w:szCs w:val="22"/>
              </w:rPr>
              <w:t>wąski charakter wprowadzanych zmian</w:t>
            </w:r>
            <w:r w:rsidR="00A8309C">
              <w:rPr>
                <w:rFonts w:asciiTheme="minorHAnsi" w:hAnsiTheme="minorHAnsi" w:cstheme="minorHAnsi"/>
                <w:sz w:val="22"/>
                <w:szCs w:val="22"/>
              </w:rPr>
              <w:t xml:space="preserve"> mających </w:t>
            </w:r>
            <w:r w:rsidR="00DF0D85">
              <w:rPr>
                <w:rFonts w:asciiTheme="minorHAnsi" w:hAnsiTheme="minorHAnsi" w:cstheme="minorHAnsi"/>
                <w:sz w:val="22"/>
                <w:szCs w:val="22"/>
              </w:rPr>
              <w:t xml:space="preserve">na celu dostosowanie ww. załączników do brzmienia ustawy, które będzie obowiązywało </w:t>
            </w:r>
            <w:r w:rsidR="00A830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r w:rsidR="00A830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dnia 1</w:t>
            </w:r>
            <w:r w:rsidR="00A830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stycznia 2026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>r.</w:t>
            </w:r>
            <w:r w:rsidR="00DF0D85">
              <w:rPr>
                <w:rFonts w:asciiTheme="minorHAnsi" w:hAnsiTheme="minorHAnsi" w:cstheme="minorHAnsi"/>
                <w:sz w:val="22"/>
                <w:szCs w:val="22"/>
              </w:rPr>
              <w:t>, przewidującego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 xml:space="preserve"> możliwoś</w:t>
            </w:r>
            <w:r w:rsidR="00DF0D85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2D1E6D">
              <w:rPr>
                <w:rFonts w:asciiTheme="minorHAnsi" w:hAnsiTheme="minorHAnsi" w:cstheme="minorHAnsi"/>
                <w:sz w:val="22"/>
                <w:szCs w:val="22"/>
              </w:rPr>
              <w:t xml:space="preserve"> udzielania wszystkim osobom uprawnionym nieodpłatnej pomocy prawnej lub nieodpłatnego poradnictwa obywatelskiego za pośrednictwem środków porozumiewania się na odległość także poza stanem epidemii lub stanem zagrożenia epidemicznego</w:t>
            </w:r>
            <w:r w:rsidR="00DF0D85">
              <w:rPr>
                <w:rFonts w:asciiTheme="minorHAnsi" w:hAnsiTheme="minorHAnsi" w:cstheme="minorHAnsi"/>
                <w:sz w:val="22"/>
                <w:szCs w:val="22"/>
              </w:rPr>
              <w:t xml:space="preserve">. Nadanie nowego brzmienia całym załącznikom nr 2 i nr 4 nie jest możliwe na tym etapie prac. </w:t>
            </w:r>
          </w:p>
          <w:p w14:paraId="2EA5F855" w14:textId="07198985" w:rsidR="00A06425" w:rsidRPr="00A06425" w:rsidRDefault="0095015F" w:rsidP="00EC0B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ta </w:t>
            </w:r>
            <w:r w:rsidR="008D7A55">
              <w:rPr>
                <w:rFonts w:asciiTheme="minorHAnsi" w:hAnsiTheme="minorHAnsi" w:cstheme="minorHAnsi"/>
                <w:sz w:val="22"/>
                <w:szCs w:val="22"/>
              </w:rPr>
              <w:t xml:space="preserve">zostanie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zrealizowan</w:t>
            </w:r>
            <w:r w:rsidR="008D7A5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 planowanej 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>komplekso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 xml:space="preserve"> nowelizacj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>rozporządzenia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Ministra Sprawiedliwości w sprawie nieodpłatnej pomocy prawnej oraz nieodpłatnego poradnictwa obywatelskiego, która zostanie przeprowadzona 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>bezzwłocznie po wyłonieniu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>wykonawcy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>teleinformatycznego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5015F">
              <w:rPr>
                <w:rFonts w:asciiTheme="minorHAnsi" w:hAnsiTheme="minorHAnsi" w:cstheme="minorHAnsi"/>
                <w:sz w:val="22"/>
                <w:szCs w:val="22"/>
              </w:rPr>
              <w:t>podstawie przepisów ustawy z dnia 11 września 2019 r. – Prawo zamówień publicznych.</w:t>
            </w:r>
          </w:p>
        </w:tc>
      </w:tr>
      <w:tr w:rsidR="00A06425" w:rsidRPr="00A06425" w14:paraId="4DA71E23" w14:textId="77777777" w:rsidTr="00656B23">
        <w:tc>
          <w:tcPr>
            <w:tcW w:w="562" w:type="dxa"/>
          </w:tcPr>
          <w:p w14:paraId="70E8D17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993" w:type="dxa"/>
          </w:tcPr>
          <w:p w14:paraId="2EB887B1" w14:textId="635813E1" w:rsidR="00A06425" w:rsidRPr="00A06425" w:rsidRDefault="00B46B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417" w:type="dxa"/>
          </w:tcPr>
          <w:p w14:paraId="44DA63D7" w14:textId="77777777" w:rsidR="00B46BDC" w:rsidRDefault="00B46BDC" w:rsidP="00B46B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§ 3 ust. 1 i 2</w:t>
            </w:r>
          </w:p>
          <w:p w14:paraId="783A5376" w14:textId="09350520" w:rsidR="00A06425" w:rsidRPr="00A06425" w:rsidRDefault="00B46BDC" w:rsidP="00B46B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projektu</w:t>
            </w:r>
          </w:p>
        </w:tc>
        <w:tc>
          <w:tcPr>
            <w:tcW w:w="5245" w:type="dxa"/>
          </w:tcPr>
          <w:p w14:paraId="70A0BE9D" w14:textId="30545DCE" w:rsidR="00A06425" w:rsidRPr="00D344D6" w:rsidRDefault="00B46BDC" w:rsidP="00D344D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Poddaje się pod rozwagę celowość zamieszczania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regulacji przejściowej przewidzianej w § 3 ust. 2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projektu, z której de facto wynika, że zbiorcza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informacja za pierwszy kwartał 2026 r. zostanie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sporządzona zgodnie z obowiązującym w</w:t>
            </w:r>
            <w:r w:rsidR="00D344D6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momencie jej sporządzania nowym wzorem tej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informacji – co wydaje się oczywiste. Skoro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bowiem informacje, o których mowa w art. 12 ust.</w:t>
            </w:r>
            <w:r w:rsidR="00D344D6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1 ustawy upoważniającej, są przekazywane są co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kwartał, do końca miesiąca następującego po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zakończeniu danego kwartału, to przy zakładanym</w:t>
            </w:r>
            <w:r w:rsidR="00884C3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wejściu w życie rozporządzenia z dniem 1 stycznia</w:t>
            </w:r>
            <w:r w:rsidR="00884C3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2026</w:t>
            </w:r>
            <w:r w:rsidR="00C328A9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r., oraz przy wprowadzeniu zasady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sprawozdawania ostatniego kwartału 2025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według zasad dotychczasowych (§ 3 ust. 1),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oczywistym jest, że nowy wzór takiej informacji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znajdzie po raz pierwszy zastosowania od dnia 1</w:t>
            </w:r>
            <w:r w:rsidR="00B47460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kwietnia 2026 r.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Wyjaśnienia jednak wymaga, który z wzorów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informacji (nowy czy dotychczasowy) znajdzie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zastosowanie w sytuacji określonej w art. 12 ust. 1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zdanie drugie ustawy upoważniającej – tj. w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przypadku, gdyby informacje pochodzące z 3 %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art pomocy, </w:t>
            </w:r>
            <w:bookmarkStart w:id="0" w:name="_Hlk213690563"/>
            <w:r>
              <w:rPr>
                <w:rFonts w:ascii="Calibri" w:hAnsi="Calibri" w:cs="Calibri"/>
                <w:sz w:val="22"/>
                <w:szCs w:val="22"/>
              </w:rPr>
              <w:t>dotyczących pomocy udzielonej w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ostatnim kwartale 2025 r., miały być przekazane w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zbiorczej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informacji za pierwszy kwartał 2026 r. </w:t>
            </w:r>
            <w:bookmarkEnd w:id="0"/>
            <w:r>
              <w:rPr>
                <w:rFonts w:ascii="Calibri" w:hAnsi="Calibri" w:cs="Calibri"/>
                <w:sz w:val="22"/>
                <w:szCs w:val="22"/>
              </w:rPr>
              <w:t>(z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§ 3 ust. 1 wynikałoby ujmowanie tych informacji</w:t>
            </w:r>
            <w:r w:rsidR="00D344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na dotychczasowym wzorze zbiorczej informacji).</w:t>
            </w:r>
          </w:p>
        </w:tc>
        <w:tc>
          <w:tcPr>
            <w:tcW w:w="3402" w:type="dxa"/>
          </w:tcPr>
          <w:p w14:paraId="61BD8AD7" w14:textId="6F12B39B" w:rsidR="005176A0" w:rsidRPr="00A06425" w:rsidRDefault="005176A0" w:rsidP="004B20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6C71B3C7" w14:textId="171E83C2" w:rsidR="002B0F32" w:rsidRPr="00601FB6" w:rsidRDefault="002B0F32" w:rsidP="00FE410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0F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częściowo uwzględniona.</w:t>
            </w:r>
          </w:p>
          <w:p w14:paraId="75C53833" w14:textId="445D88FE" w:rsidR="00FE410E" w:rsidRPr="00FE410E" w:rsidRDefault="00FE410E" w:rsidP="001D0E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 xml:space="preserve">odniesieniu do pierwszej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uwagi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uprzejmie informujemy,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wskazanie na stosowanie załącznika nr 4 w</w:t>
            </w:r>
            <w:r w:rsidR="0060222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brzmieniu nadanym rozporządzeniem</w:t>
            </w:r>
            <w:r w:rsidR="006022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zmieniającym ma na celu wyraźne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określenie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, że nowy wzór zbiorczej informacji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zostanie uwidoczniony w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centralnym systemie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teleinformatycznym dopiero od dnia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kwietnia 2026 r. W przypadku usunięcia tego przepisu, wzór ten powinien zostać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uwidoczniony w dniu wejścia w życie przepisów rozporządzenia, a zatem w dniu 1</w:t>
            </w:r>
            <w:r w:rsidR="00235C5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stycznia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2026 r., co nie jest możliwe technicznie, gdyż możliwość generowania prawidłowego i</w:t>
            </w:r>
            <w:r w:rsidR="001D0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410E">
              <w:rPr>
                <w:rFonts w:asciiTheme="minorHAnsi" w:hAnsiTheme="minorHAnsi" w:cstheme="minorHAnsi"/>
                <w:sz w:val="22"/>
                <w:szCs w:val="22"/>
              </w:rPr>
              <w:t>pełnego sprawozdania istnieje dopiero po zakończeniu kwartału.</w:t>
            </w:r>
          </w:p>
          <w:p w14:paraId="567995B4" w14:textId="2E846CD5" w:rsidR="00A06425" w:rsidRDefault="001D0EE2" w:rsidP="000E38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Odnosząc się do drugiej części uwagi należy wskazać,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 xml:space="preserve"> że </w:t>
            </w:r>
            <w:bookmarkStart w:id="1" w:name="_Hlk213690276"/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>w sytuacji określonej w art. 12 ust.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 xml:space="preserve">zdanie drugie ustawy znajdzie zastosowanie nowy wzór </w:t>
            </w:r>
            <w:r w:rsidR="00FC45C2">
              <w:rPr>
                <w:rFonts w:asciiTheme="minorHAnsi" w:hAnsiTheme="minorHAnsi" w:cstheme="minorHAnsi"/>
                <w:sz w:val="22"/>
                <w:szCs w:val="22"/>
              </w:rPr>
              <w:t xml:space="preserve">zbiorczej 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>informacji o wykonaniu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>polegającego na udzielaniu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>nieodpłatnej pomocy prawnej lub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>nieodpłatnego poradnictwa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410E" w:rsidRPr="00FE410E">
              <w:rPr>
                <w:rFonts w:asciiTheme="minorHAnsi" w:hAnsiTheme="minorHAnsi" w:cstheme="minorHAnsi"/>
                <w:sz w:val="22"/>
                <w:szCs w:val="22"/>
              </w:rPr>
              <w:t>obywatelskiego</w:t>
            </w:r>
            <w:r w:rsidR="000A3A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81E31">
              <w:rPr>
                <w:rFonts w:asciiTheme="minorHAnsi" w:hAnsiTheme="minorHAnsi" w:cstheme="minorHAnsi"/>
                <w:sz w:val="22"/>
                <w:szCs w:val="22"/>
              </w:rPr>
              <w:t xml:space="preserve"> W związku z tym zaproponowano odpowiednią modyfikację § 3 projektowanego rozporządzenia</w:t>
            </w:r>
            <w:bookmarkEnd w:id="1"/>
            <w:r w:rsidR="00A4740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CF65AA2" w14:textId="68346B73" w:rsidR="00A4740D" w:rsidRPr="00A4740D" w:rsidRDefault="00A4740D" w:rsidP="00A4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4740D">
              <w:rPr>
                <w:rFonts w:asciiTheme="minorHAnsi" w:hAnsiTheme="minorHAnsi" w:cstheme="minorHAnsi"/>
                <w:sz w:val="22"/>
                <w:szCs w:val="22"/>
              </w:rPr>
              <w:t>§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A4740D">
              <w:rPr>
                <w:rFonts w:asciiTheme="minorHAnsi" w:hAnsiTheme="minorHAnsi" w:cstheme="minorHAnsi"/>
                <w:sz w:val="22"/>
                <w:szCs w:val="22"/>
              </w:rPr>
              <w:t xml:space="preserve">1. Do przekazywania zbiorczej informacji, o której mowa w art. 12 ust. 1 zdanie pierwsze ustawy z dnia 5 sierpnia 2015 r. o nieodpłatnej pomocy prawnej, nieodpłatnym poradnictwie obywatelskim oraz edukacji prawnej, </w:t>
            </w:r>
            <w:r w:rsidRPr="00A474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zwanej dalej „ustawą”, w zakresie zadań, o których mowa w art. 8 ust. 1 ustawy, wykonanych na obszarze powiatu przed dniem wejścia w życie niniejszego rozporządzenia, stosuje się przepisy dotychczasowe.</w:t>
            </w:r>
          </w:p>
          <w:p w14:paraId="3F84330C" w14:textId="4964D462" w:rsidR="00A4740D" w:rsidRPr="00A06425" w:rsidRDefault="00A4740D" w:rsidP="00A4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40D">
              <w:rPr>
                <w:rFonts w:asciiTheme="minorHAnsi" w:hAnsiTheme="minorHAnsi" w:cstheme="minorHAnsi"/>
                <w:sz w:val="22"/>
                <w:szCs w:val="22"/>
              </w:rPr>
              <w:t>2. Do przekazywania zbiorczej informacji, o której mowa w art. 12 ust. 1 zdanie pierwsze ustawy, w zakresie zadań, o których mowa w art. 8 ust. 1 ustawy, wykonanych na obszarze powiatu od dnia wejścia w życie niniejszego rozporządzenia oraz informacji, o których mowa art. 12 ust.</w:t>
            </w:r>
            <w:r w:rsidR="00656B2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740D">
              <w:rPr>
                <w:rFonts w:asciiTheme="minorHAnsi" w:hAnsiTheme="minorHAnsi" w:cstheme="minorHAnsi"/>
                <w:sz w:val="22"/>
                <w:szCs w:val="22"/>
              </w:rPr>
              <w:t>1 zdanie drugie ustawy, za ostatni kwartał 2025 r., załącznik nr 4 do rozporządzenia zmienianego w § 1, w</w:t>
            </w:r>
            <w:r w:rsidR="00FC45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740D">
              <w:rPr>
                <w:rFonts w:asciiTheme="minorHAnsi" w:hAnsiTheme="minorHAnsi" w:cstheme="minorHAnsi"/>
                <w:sz w:val="22"/>
                <w:szCs w:val="22"/>
              </w:rPr>
              <w:t>brzmieniu nadanym niniejszym rozporządzeniem, stosuje się od dnia 1</w:t>
            </w:r>
            <w:r w:rsidR="00FC45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740D">
              <w:rPr>
                <w:rFonts w:asciiTheme="minorHAnsi" w:hAnsiTheme="minorHAnsi" w:cstheme="minorHAnsi"/>
                <w:sz w:val="22"/>
                <w:szCs w:val="22"/>
              </w:rPr>
              <w:t>kwietnia 2026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</w:tr>
    </w:tbl>
    <w:p w14:paraId="151BCC2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233A"/>
    <w:rsid w:val="00034258"/>
    <w:rsid w:val="00081E31"/>
    <w:rsid w:val="000A3A06"/>
    <w:rsid w:val="000B7C24"/>
    <w:rsid w:val="000E38F8"/>
    <w:rsid w:val="00140BE8"/>
    <w:rsid w:val="00141A2A"/>
    <w:rsid w:val="0017544A"/>
    <w:rsid w:val="0019648E"/>
    <w:rsid w:val="001D0EE2"/>
    <w:rsid w:val="001F33E7"/>
    <w:rsid w:val="00202F72"/>
    <w:rsid w:val="00235C58"/>
    <w:rsid w:val="002715B2"/>
    <w:rsid w:val="002B0F32"/>
    <w:rsid w:val="002C34AE"/>
    <w:rsid w:val="002D1E6D"/>
    <w:rsid w:val="003124D1"/>
    <w:rsid w:val="0032046A"/>
    <w:rsid w:val="003B4105"/>
    <w:rsid w:val="003C3258"/>
    <w:rsid w:val="00412AE0"/>
    <w:rsid w:val="004842A9"/>
    <w:rsid w:val="004A5488"/>
    <w:rsid w:val="004B201B"/>
    <w:rsid w:val="004D086F"/>
    <w:rsid w:val="005176A0"/>
    <w:rsid w:val="00551C34"/>
    <w:rsid w:val="005E6B67"/>
    <w:rsid w:val="005F6527"/>
    <w:rsid w:val="00601FB6"/>
    <w:rsid w:val="00602224"/>
    <w:rsid w:val="00637C23"/>
    <w:rsid w:val="00656B23"/>
    <w:rsid w:val="00663694"/>
    <w:rsid w:val="006705EC"/>
    <w:rsid w:val="006C3354"/>
    <w:rsid w:val="006E16E9"/>
    <w:rsid w:val="007A2DBE"/>
    <w:rsid w:val="007D1091"/>
    <w:rsid w:val="00807385"/>
    <w:rsid w:val="0083030D"/>
    <w:rsid w:val="00884C30"/>
    <w:rsid w:val="00885E11"/>
    <w:rsid w:val="008B3ABE"/>
    <w:rsid w:val="008D7A55"/>
    <w:rsid w:val="00944932"/>
    <w:rsid w:val="0095015F"/>
    <w:rsid w:val="00981666"/>
    <w:rsid w:val="009E5FDB"/>
    <w:rsid w:val="00A06425"/>
    <w:rsid w:val="00A4740D"/>
    <w:rsid w:val="00A8309C"/>
    <w:rsid w:val="00AC2B1D"/>
    <w:rsid w:val="00AC7796"/>
    <w:rsid w:val="00AE35AD"/>
    <w:rsid w:val="00B43E1C"/>
    <w:rsid w:val="00B46BDC"/>
    <w:rsid w:val="00B47460"/>
    <w:rsid w:val="00B870B7"/>
    <w:rsid w:val="00B871B6"/>
    <w:rsid w:val="00BA36C6"/>
    <w:rsid w:val="00BD417A"/>
    <w:rsid w:val="00C0781F"/>
    <w:rsid w:val="00C14DCD"/>
    <w:rsid w:val="00C328A9"/>
    <w:rsid w:val="00C64B1B"/>
    <w:rsid w:val="00CD5EB0"/>
    <w:rsid w:val="00CE0D1C"/>
    <w:rsid w:val="00CF3C60"/>
    <w:rsid w:val="00CF552A"/>
    <w:rsid w:val="00D1571C"/>
    <w:rsid w:val="00D240FA"/>
    <w:rsid w:val="00D344D6"/>
    <w:rsid w:val="00D713C6"/>
    <w:rsid w:val="00D92D9F"/>
    <w:rsid w:val="00DF0D85"/>
    <w:rsid w:val="00E14C33"/>
    <w:rsid w:val="00E249F5"/>
    <w:rsid w:val="00E72A78"/>
    <w:rsid w:val="00E83D8B"/>
    <w:rsid w:val="00EA741A"/>
    <w:rsid w:val="00EC0B94"/>
    <w:rsid w:val="00FB234C"/>
    <w:rsid w:val="00FC45C2"/>
    <w:rsid w:val="00FE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4E2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2B1D"/>
    <w:rPr>
      <w:sz w:val="24"/>
      <w:szCs w:val="24"/>
    </w:rPr>
  </w:style>
  <w:style w:type="character" w:styleId="Odwoaniedokomentarza">
    <w:name w:val="annotation reference"/>
    <w:basedOn w:val="Domylnaczcionkaakapitu"/>
    <w:rsid w:val="004B20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20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201B"/>
  </w:style>
  <w:style w:type="paragraph" w:styleId="Tematkomentarza">
    <w:name w:val="annotation subject"/>
    <w:basedOn w:val="Tekstkomentarza"/>
    <w:next w:val="Tekstkomentarza"/>
    <w:link w:val="TematkomentarzaZnak"/>
    <w:rsid w:val="004B2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B20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1168</Words>
  <Characters>7304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Duma Joanna</cp:lastModifiedBy>
  <cp:revision>2</cp:revision>
  <dcterms:created xsi:type="dcterms:W3CDTF">2025-11-17T11:04:00Z</dcterms:created>
  <dcterms:modified xsi:type="dcterms:W3CDTF">2025-11-17T11:04:00Z</dcterms:modified>
</cp:coreProperties>
</file>